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rPr>
          <w:rFonts w:hint="eastAsia" w:ascii="宋体" w:hAnsi="宋体" w:eastAsia="宋体" w:cs="宋体"/>
          <w:color w:val="auto"/>
        </w:rPr>
      </w:pPr>
      <w:bookmarkStart w:id="0" w:name="_Toc24965051"/>
      <w:bookmarkStart w:id="1" w:name="_Toc60824580"/>
      <w:bookmarkStart w:id="2" w:name="_Toc1967971712_WPSOffice_Level1"/>
      <w:bookmarkStart w:id="3" w:name="_Toc1653344660_WPSOffice_Level1"/>
      <w:r>
        <w:rPr>
          <w:rFonts w:hint="eastAsia" w:ascii="宋体" w:hAnsi="宋体" w:eastAsia="宋体" w:cs="宋体"/>
          <w:color w:val="auto"/>
        </w:rPr>
        <w:t>A107010</w:t>
      </w:r>
      <w:r>
        <w:rPr>
          <w:rFonts w:hint="eastAsia" w:ascii="宋体" w:hAnsi="宋体" w:eastAsia="宋体" w:cs="宋体"/>
          <w:color w:val="auto"/>
        </w:rPr>
        <w:tab/>
      </w:r>
      <w:r>
        <w:rPr>
          <w:rFonts w:hint="eastAsia" w:ascii="宋体" w:hAnsi="宋体" w:eastAsia="宋体" w:cs="宋体"/>
          <w:color w:val="auto"/>
        </w:rPr>
        <w:t>免税、减计收入及加计扣除优惠明细表</w:t>
      </w:r>
      <w:bookmarkEnd w:id="0"/>
      <w:bookmarkEnd w:id="1"/>
      <w:bookmarkEnd w:id="2"/>
      <w:bookmarkEnd w:id="3"/>
    </w:p>
    <w:tbl>
      <w:tblPr>
        <w:tblStyle w:val="2"/>
        <w:tblW w:w="99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56"/>
        <w:gridCol w:w="8246"/>
        <w:gridCol w:w="10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5" w:hRule="atLeast"/>
          <w:jc w:val="center"/>
        </w:trPr>
        <w:tc>
          <w:tcPr>
            <w:tcW w:w="656" w:type="dxa"/>
            <w:tcBorders>
              <w:top w:val="single" w:color="auto" w:sz="12"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行次</w:t>
            </w:r>
          </w:p>
        </w:tc>
        <w:tc>
          <w:tcPr>
            <w:tcW w:w="8246" w:type="dxa"/>
            <w:tcBorders>
              <w:top w:val="single" w:color="auto" w:sz="12" w:space="0"/>
              <w:left w:val="single" w:color="auto" w:sz="6"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项    目</w:t>
            </w:r>
          </w:p>
        </w:tc>
        <w:tc>
          <w:tcPr>
            <w:tcW w:w="1052" w:type="dxa"/>
            <w:tcBorders>
              <w:top w:val="single" w:color="auto" w:sz="12"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金    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一、免税收入（2+3+9+…+16）</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（一）国债利息收入免征企业所得税</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left="993" w:leftChars="190" w:hanging="594" w:hangingChars="297"/>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（二）符合条件的居民企业之间的股息、红利等权益性投资收益免征企业所得税（4+5+6+7+8）</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left="1411" w:leftChars="211" w:hanging="968" w:hangingChars="484"/>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    1.一般股息红利等权益性投资收益免征企业所得税（填写A107011）</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5</w:t>
            </w:r>
          </w:p>
        </w:tc>
        <w:tc>
          <w:tcPr>
            <w:tcW w:w="8246" w:type="dxa"/>
            <w:tcBorders>
              <w:top w:val="single" w:color="auto" w:sz="6" w:space="0"/>
              <w:left w:val="single" w:color="auto" w:sz="6" w:space="0"/>
              <w:bottom w:val="single" w:color="auto" w:sz="6" w:space="0"/>
              <w:right w:val="single" w:color="auto" w:sz="6" w:space="0"/>
            </w:tcBorders>
            <w:shd w:val="clear" w:color="000000" w:fill="FFFFFF"/>
            <w:noWrap w:val="0"/>
            <w:vAlign w:val="center"/>
          </w:tcPr>
          <w:p>
            <w:pPr>
              <w:widowControl/>
              <w:ind w:left="1009" w:leftChars="210" w:hanging="568" w:hangingChars="284"/>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    2.内地居民企业通过沪港通投资且连续持有H股满12个月取得的股息红利所得免征企业所得税（填写A107011）</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6</w:t>
            </w:r>
          </w:p>
        </w:tc>
        <w:tc>
          <w:tcPr>
            <w:tcW w:w="8246" w:type="dxa"/>
            <w:tcBorders>
              <w:top w:val="single" w:color="auto" w:sz="6" w:space="0"/>
              <w:left w:val="single" w:color="auto" w:sz="6" w:space="0"/>
              <w:bottom w:val="single" w:color="auto" w:sz="6" w:space="0"/>
              <w:right w:val="single" w:color="auto" w:sz="6" w:space="0"/>
            </w:tcBorders>
            <w:shd w:val="clear" w:color="000000" w:fill="FFFFFF"/>
            <w:noWrap w:val="0"/>
            <w:vAlign w:val="center"/>
          </w:tcPr>
          <w:p>
            <w:pPr>
              <w:widowControl/>
              <w:ind w:left="1009" w:leftChars="210" w:hanging="568" w:hangingChars="284"/>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    3.内地居民企业通过深港通投资且连续持有H股满12个月取得的股息红利所得免征企业所得税（填写A107011）</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7</w:t>
            </w:r>
          </w:p>
        </w:tc>
        <w:tc>
          <w:tcPr>
            <w:tcW w:w="8246" w:type="dxa"/>
            <w:tcBorders>
              <w:top w:val="single" w:color="auto" w:sz="6" w:space="0"/>
              <w:left w:val="single" w:color="auto" w:sz="6" w:space="0"/>
              <w:bottom w:val="single" w:color="auto" w:sz="6" w:space="0"/>
              <w:right w:val="single" w:color="auto" w:sz="6" w:space="0"/>
            </w:tcBorders>
            <w:shd w:val="clear" w:color="000000" w:fill="FFFFFF"/>
            <w:noWrap w:val="0"/>
            <w:vAlign w:val="center"/>
          </w:tcPr>
          <w:p>
            <w:pPr>
              <w:widowControl/>
              <w:ind w:left="1151" w:leftChars="210" w:hanging="710" w:hangingChars="355"/>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    4.居民企业持有创新企业CDR取得的股息红利所得免征企业所得税（填写A107011）</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8</w:t>
            </w:r>
          </w:p>
        </w:tc>
        <w:tc>
          <w:tcPr>
            <w:tcW w:w="8246" w:type="dxa"/>
            <w:tcBorders>
              <w:top w:val="single" w:color="auto" w:sz="6" w:space="0"/>
              <w:left w:val="single" w:color="auto" w:sz="6" w:space="0"/>
              <w:bottom w:val="single" w:color="auto" w:sz="6" w:space="0"/>
              <w:right w:val="single" w:color="auto" w:sz="6" w:space="0"/>
            </w:tcBorders>
            <w:shd w:val="clear" w:color="000000" w:fill="FFFFFF"/>
            <w:noWrap w:val="0"/>
            <w:vAlign w:val="center"/>
          </w:tcPr>
          <w:p>
            <w:pPr>
              <w:widowControl/>
              <w:ind w:left="1411" w:leftChars="211" w:hanging="968" w:hangingChars="484"/>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    5.符合条件的永续债利息收入免征企业所得税（填写A107011）</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9</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（三）符合条件的非营利组织的收入免征企业所得税</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10</w:t>
            </w:r>
          </w:p>
        </w:tc>
        <w:tc>
          <w:tcPr>
            <w:tcW w:w="8246" w:type="dxa"/>
            <w:tcBorders>
              <w:top w:val="single" w:color="auto" w:sz="6" w:space="0"/>
              <w:left w:val="single" w:color="auto" w:sz="6" w:space="0"/>
              <w:bottom w:val="single" w:color="auto" w:sz="6" w:space="0"/>
              <w:right w:val="single" w:color="auto" w:sz="6" w:space="0"/>
            </w:tcBorders>
            <w:shd w:val="clear" w:color="000000" w:fill="FFFFFF"/>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（四）中国清洁发展机制基金取得的收入免征企业所得税</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11</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（五）投资者从证券投资基金分配中取得的收入免征企业所得税</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12</w:t>
            </w:r>
          </w:p>
        </w:tc>
        <w:tc>
          <w:tcPr>
            <w:tcW w:w="8246" w:type="dxa"/>
            <w:tcBorders>
              <w:top w:val="single" w:color="auto" w:sz="6" w:space="0"/>
              <w:left w:val="single" w:color="auto" w:sz="6" w:space="0"/>
              <w:bottom w:val="single" w:color="auto" w:sz="6" w:space="0"/>
              <w:right w:val="single" w:color="auto" w:sz="6" w:space="0"/>
            </w:tcBorders>
            <w:shd w:val="clear" w:color="000000" w:fill="FFFFFF"/>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（六）取得的地方政府债券利息收入免征企业所得税</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13</w:t>
            </w:r>
          </w:p>
        </w:tc>
        <w:tc>
          <w:tcPr>
            <w:tcW w:w="8246" w:type="dxa"/>
            <w:tcBorders>
              <w:top w:val="single" w:color="auto" w:sz="6" w:space="0"/>
              <w:left w:val="single" w:color="auto" w:sz="6" w:space="0"/>
              <w:bottom w:val="single" w:color="auto" w:sz="6" w:space="0"/>
              <w:right w:val="single" w:color="auto" w:sz="6" w:space="0"/>
            </w:tcBorders>
            <w:shd w:val="clear" w:color="000000" w:fill="FFFFFF"/>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（七）中国保险保障基金有限责任公司取得的保险保障基金等收入免征企业所得税</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14</w:t>
            </w:r>
          </w:p>
        </w:tc>
        <w:tc>
          <w:tcPr>
            <w:tcW w:w="8246" w:type="dxa"/>
            <w:tcBorders>
              <w:top w:val="single" w:color="auto" w:sz="6" w:space="0"/>
              <w:left w:val="single" w:color="auto" w:sz="6" w:space="0"/>
              <w:bottom w:val="single" w:color="auto" w:sz="6" w:space="0"/>
              <w:right w:val="single" w:color="auto" w:sz="6" w:space="0"/>
            </w:tcBorders>
            <w:shd w:val="clear" w:color="000000" w:fill="FFFFFF"/>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（八）中国奥委会取得北京冬奥组委支付的收入免征企业所得税</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15</w:t>
            </w:r>
          </w:p>
        </w:tc>
        <w:tc>
          <w:tcPr>
            <w:tcW w:w="8246" w:type="dxa"/>
            <w:tcBorders>
              <w:top w:val="single" w:color="auto" w:sz="6" w:space="0"/>
              <w:left w:val="single" w:color="auto" w:sz="6" w:space="0"/>
              <w:bottom w:val="single" w:color="auto" w:sz="6" w:space="0"/>
              <w:right w:val="single" w:color="auto" w:sz="6" w:space="0"/>
            </w:tcBorders>
            <w:shd w:val="clear" w:color="000000" w:fill="FFFFFF"/>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（九）中国残奥委会取得北京冬奥组委分期支付的收入免征企业所得税</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16</w:t>
            </w:r>
          </w:p>
        </w:tc>
        <w:tc>
          <w:tcPr>
            <w:tcW w:w="8246" w:type="dxa"/>
            <w:tcBorders>
              <w:top w:val="single" w:color="auto" w:sz="6" w:space="0"/>
              <w:left w:val="single" w:color="auto" w:sz="6" w:space="0"/>
              <w:bottom w:val="single" w:color="auto" w:sz="6" w:space="0"/>
              <w:right w:val="single" w:color="auto" w:sz="6" w:space="0"/>
            </w:tcBorders>
            <w:shd w:val="clear" w:color="000000" w:fill="FFFFFF"/>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（十）其他</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17</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二、减计收入（18+19+23+24）</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18</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（一）综合利用资源生产产品取得的收入在计算应纳税所得额时减计收入</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19</w:t>
            </w:r>
          </w:p>
        </w:tc>
        <w:tc>
          <w:tcPr>
            <w:tcW w:w="8246"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（二）金融、保险等机构取得的涉农利息、保费减计收入（20+21+22）</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20</w:t>
            </w:r>
          </w:p>
        </w:tc>
        <w:tc>
          <w:tcPr>
            <w:tcW w:w="8246"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widowControl/>
              <w:ind w:firstLine="800" w:firstLineChars="4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1.金融机构取得的涉农贷款利息收入在计算应纳税所得额时减计收入</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21</w:t>
            </w:r>
          </w:p>
        </w:tc>
        <w:tc>
          <w:tcPr>
            <w:tcW w:w="8246"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widowControl/>
              <w:ind w:firstLine="800" w:firstLineChars="4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2.保险机构取得的涉农保费收入在计算应纳税所得额时减计收入</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22</w:t>
            </w:r>
          </w:p>
        </w:tc>
        <w:tc>
          <w:tcPr>
            <w:tcW w:w="8246"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widowControl/>
              <w:ind w:firstLine="800" w:firstLineChars="4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3.小额贷款公司取得的农户小额贷款利息收入在计算应纳税所得额时减计收入</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shd w:val="clear" w:color="auto" w:fill="auto"/>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23</w:t>
            </w:r>
          </w:p>
        </w:tc>
        <w:tc>
          <w:tcPr>
            <w:tcW w:w="8246" w:type="dxa"/>
            <w:tcBorders>
              <w:top w:val="single" w:color="auto" w:sz="6" w:space="0"/>
              <w:left w:val="single" w:color="auto" w:sz="6" w:space="0"/>
              <w:bottom w:val="single" w:color="auto" w:sz="6" w:space="0"/>
              <w:right w:val="single" w:color="auto" w:sz="6" w:space="0"/>
            </w:tcBorders>
            <w:shd w:val="clear" w:color="auto" w:fill="auto"/>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（三）取得铁路债券利息收入减半征收企业所得税</w:t>
            </w:r>
          </w:p>
        </w:tc>
        <w:tc>
          <w:tcPr>
            <w:tcW w:w="1052" w:type="dxa"/>
            <w:tcBorders>
              <w:top w:val="single" w:color="auto" w:sz="6" w:space="0"/>
              <w:left w:val="single" w:color="auto" w:sz="6" w:space="0"/>
              <w:bottom w:val="single" w:color="auto" w:sz="6" w:space="0"/>
              <w:right w:val="single" w:color="auto" w:sz="12" w:space="0"/>
            </w:tcBorders>
            <w:shd w:val="clear" w:color="000000" w:fill="FFFFFF"/>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24</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（四）其他（24.1+24.2）</w:t>
            </w:r>
          </w:p>
        </w:tc>
        <w:tc>
          <w:tcPr>
            <w:tcW w:w="1052" w:type="dxa"/>
            <w:tcBorders>
              <w:top w:val="single" w:color="auto" w:sz="6" w:space="0"/>
              <w:left w:val="single" w:color="auto" w:sz="6" w:space="0"/>
              <w:bottom w:val="single" w:color="auto" w:sz="6" w:space="0"/>
              <w:right w:val="single" w:color="auto" w:sz="12" w:space="0"/>
            </w:tcBorders>
            <w:noWrap w:val="0"/>
            <w:vAlign w:val="bottom"/>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24.1</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    1.取得的社区家庭服务收入在计算应纳税所得额时减计收入</w:t>
            </w:r>
          </w:p>
        </w:tc>
        <w:tc>
          <w:tcPr>
            <w:tcW w:w="1052" w:type="dxa"/>
            <w:tcBorders>
              <w:top w:val="single" w:color="auto" w:sz="6" w:space="0"/>
              <w:left w:val="single" w:color="auto" w:sz="6" w:space="0"/>
              <w:bottom w:val="single" w:color="auto" w:sz="6" w:space="0"/>
              <w:right w:val="single" w:color="auto" w:sz="12" w:space="0"/>
            </w:tcBorders>
            <w:noWrap w:val="0"/>
            <w:vAlign w:val="bottom"/>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24.2</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 xml:space="preserve">    2.其他</w:t>
            </w:r>
          </w:p>
        </w:tc>
        <w:tc>
          <w:tcPr>
            <w:tcW w:w="1052" w:type="dxa"/>
            <w:tcBorders>
              <w:top w:val="single" w:color="auto" w:sz="6" w:space="0"/>
              <w:left w:val="single" w:color="auto" w:sz="6" w:space="0"/>
              <w:bottom w:val="single" w:color="auto" w:sz="6" w:space="0"/>
              <w:right w:val="single" w:color="auto" w:sz="12" w:space="0"/>
            </w:tcBorders>
            <w:noWrap w:val="0"/>
            <w:vAlign w:val="bottom"/>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25</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三、加计扣除（26+27+28+29+30）</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26</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（一）开发新技术、新产品、新工艺发生的研究开发费用加计扣除（填写A107012）</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27</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left="993" w:leftChars="190" w:hanging="594" w:hangingChars="297"/>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（二）科技型中小企业开发新技术、新产品、新工艺发生的研究开发费用加计扣除（填写A107012）</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28</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left="993" w:leftChars="190" w:hanging="594" w:hangingChars="297"/>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（三）企业为获得创新性、创意性、突破性的产品进行创意设计活动而发生的相关费用加计扣除（加计扣除比例____%）</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29</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（四）安置残疾人员所支付的工资加计扣除</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6"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30</w:t>
            </w:r>
          </w:p>
        </w:tc>
        <w:tc>
          <w:tcPr>
            <w:tcW w:w="8246" w:type="dxa"/>
            <w:tcBorders>
              <w:top w:val="single" w:color="auto" w:sz="6" w:space="0"/>
              <w:left w:val="single" w:color="auto" w:sz="6" w:space="0"/>
              <w:bottom w:val="single" w:color="auto" w:sz="6" w:space="0"/>
              <w:right w:val="single" w:color="auto" w:sz="6" w:space="0"/>
            </w:tcBorders>
            <w:noWrap w:val="0"/>
            <w:vAlign w:val="center"/>
          </w:tcPr>
          <w:p>
            <w:pPr>
              <w:widowControl/>
              <w:ind w:firstLine="400" w:firstLineChars="200"/>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（五）其他</w:t>
            </w:r>
          </w:p>
        </w:tc>
        <w:tc>
          <w:tcPr>
            <w:tcW w:w="1052" w:type="dxa"/>
            <w:tcBorders>
              <w:top w:val="single" w:color="auto" w:sz="6" w:space="0"/>
              <w:left w:val="single" w:color="auto" w:sz="6" w:space="0"/>
              <w:bottom w:val="single" w:color="auto" w:sz="6"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656" w:type="dxa"/>
            <w:tcBorders>
              <w:top w:val="single" w:color="auto" w:sz="6" w:space="0"/>
              <w:left w:val="single" w:color="auto" w:sz="12" w:space="0"/>
              <w:bottom w:val="single" w:color="auto" w:sz="12" w:space="0"/>
              <w:right w:val="single" w:color="auto" w:sz="6" w:space="0"/>
            </w:tcBorders>
            <w:noWrap w:val="0"/>
            <w:vAlign w:val="center"/>
          </w:tcPr>
          <w:p>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31</w:t>
            </w:r>
          </w:p>
        </w:tc>
        <w:tc>
          <w:tcPr>
            <w:tcW w:w="8246" w:type="dxa"/>
            <w:tcBorders>
              <w:top w:val="single" w:color="auto" w:sz="6" w:space="0"/>
              <w:left w:val="single" w:color="auto" w:sz="6" w:space="0"/>
              <w:bottom w:val="single" w:color="auto" w:sz="12" w:space="0"/>
              <w:right w:val="single" w:color="auto" w:sz="6" w:space="0"/>
            </w:tcBorders>
            <w:noWrap w:val="0"/>
            <w:vAlign w:val="center"/>
          </w:tcPr>
          <w:p>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合计（1+17+25）</w:t>
            </w:r>
          </w:p>
        </w:tc>
        <w:tc>
          <w:tcPr>
            <w:tcW w:w="1052" w:type="dxa"/>
            <w:tcBorders>
              <w:top w:val="single" w:color="auto" w:sz="6" w:space="0"/>
              <w:left w:val="single" w:color="auto" w:sz="6" w:space="0"/>
              <w:bottom w:val="single" w:color="auto" w:sz="12" w:space="0"/>
              <w:right w:val="single" w:color="auto" w:sz="12" w:space="0"/>
            </w:tcBorders>
            <w:noWrap w:val="0"/>
            <w:vAlign w:val="center"/>
          </w:tcPr>
          <w:p>
            <w:pPr>
              <w:widowControl/>
              <w:jc w:val="center"/>
              <w:rPr>
                <w:rFonts w:hint="eastAsia" w:ascii="宋体" w:hAnsi="宋体" w:eastAsia="宋体" w:cs="宋体"/>
                <w:color w:val="auto"/>
                <w:kern w:val="0"/>
                <w:sz w:val="20"/>
                <w:szCs w:val="20"/>
              </w:rPr>
            </w:pPr>
          </w:p>
        </w:tc>
      </w:tr>
    </w:tbl>
    <w:p>
      <w:bookmarkStart w:id="4" w:name="_GoBack"/>
      <w:bookmarkEnd w:id="4"/>
    </w:p>
    <w:sectPr>
      <w:pgSz w:w="11906" w:h="16838"/>
      <w:pgMar w:top="851"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roid Sans"/>
    <w:panose1 w:val="00000000000000000000"/>
    <w:charset w:val="00"/>
    <w:family w:val="auto"/>
    <w:pitch w:val="default"/>
    <w:sig w:usb0="00000000" w:usb1="00000000" w:usb2="00000000" w:usb3="00000000" w:csb0="00000000" w:csb1="00000000"/>
  </w:font>
  <w:font w:name="CESI宋体-GB2312">
    <w:panose1 w:val="02000500000000000000"/>
    <w:charset w:val="86"/>
    <w:family w:val="auto"/>
    <w:pitch w:val="default"/>
    <w:sig w:usb0="800002AF" w:usb1="08476CF8" w:usb2="00000010"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F6C70"/>
    <w:rsid w:val="0001336A"/>
    <w:rsid w:val="0001446F"/>
    <w:rsid w:val="00033740"/>
    <w:rsid w:val="0008549C"/>
    <w:rsid w:val="000962AA"/>
    <w:rsid w:val="000D72D4"/>
    <w:rsid w:val="000E7D74"/>
    <w:rsid w:val="00101C1F"/>
    <w:rsid w:val="00110412"/>
    <w:rsid w:val="001265A2"/>
    <w:rsid w:val="001310C8"/>
    <w:rsid w:val="0013532C"/>
    <w:rsid w:val="0014415C"/>
    <w:rsid w:val="0027389D"/>
    <w:rsid w:val="002B74E8"/>
    <w:rsid w:val="002D75DF"/>
    <w:rsid w:val="0031594F"/>
    <w:rsid w:val="00323A1E"/>
    <w:rsid w:val="00323AB5"/>
    <w:rsid w:val="00333B3B"/>
    <w:rsid w:val="00361446"/>
    <w:rsid w:val="003A5936"/>
    <w:rsid w:val="003E2C43"/>
    <w:rsid w:val="00411F8D"/>
    <w:rsid w:val="00422B6F"/>
    <w:rsid w:val="004A2C8E"/>
    <w:rsid w:val="0056531D"/>
    <w:rsid w:val="00574CBB"/>
    <w:rsid w:val="00595800"/>
    <w:rsid w:val="005A4D77"/>
    <w:rsid w:val="005D68EC"/>
    <w:rsid w:val="005E65DB"/>
    <w:rsid w:val="005F36BE"/>
    <w:rsid w:val="006305C1"/>
    <w:rsid w:val="0064124D"/>
    <w:rsid w:val="00646B61"/>
    <w:rsid w:val="00647C34"/>
    <w:rsid w:val="006942B2"/>
    <w:rsid w:val="006A189E"/>
    <w:rsid w:val="006B5E53"/>
    <w:rsid w:val="006C67B4"/>
    <w:rsid w:val="006D1921"/>
    <w:rsid w:val="006D400D"/>
    <w:rsid w:val="006E1EE9"/>
    <w:rsid w:val="0071260A"/>
    <w:rsid w:val="007324A1"/>
    <w:rsid w:val="00750505"/>
    <w:rsid w:val="0078104D"/>
    <w:rsid w:val="007B0BFB"/>
    <w:rsid w:val="007B7DBC"/>
    <w:rsid w:val="007E368A"/>
    <w:rsid w:val="007F14AD"/>
    <w:rsid w:val="007F38C0"/>
    <w:rsid w:val="00814B95"/>
    <w:rsid w:val="00816EBF"/>
    <w:rsid w:val="00835E16"/>
    <w:rsid w:val="00840428"/>
    <w:rsid w:val="00847FA4"/>
    <w:rsid w:val="0088007A"/>
    <w:rsid w:val="008827DC"/>
    <w:rsid w:val="008D0E87"/>
    <w:rsid w:val="00926BAA"/>
    <w:rsid w:val="00945900"/>
    <w:rsid w:val="009918F2"/>
    <w:rsid w:val="00994D59"/>
    <w:rsid w:val="009B5DD7"/>
    <w:rsid w:val="009D617A"/>
    <w:rsid w:val="009F221F"/>
    <w:rsid w:val="00A01048"/>
    <w:rsid w:val="00A470CA"/>
    <w:rsid w:val="00A474AF"/>
    <w:rsid w:val="00A54467"/>
    <w:rsid w:val="00A71EBC"/>
    <w:rsid w:val="00A92681"/>
    <w:rsid w:val="00AB19F4"/>
    <w:rsid w:val="00AB24E8"/>
    <w:rsid w:val="00B21BE7"/>
    <w:rsid w:val="00BF6C70"/>
    <w:rsid w:val="00C25031"/>
    <w:rsid w:val="00C607E2"/>
    <w:rsid w:val="00C77BCB"/>
    <w:rsid w:val="00C968BD"/>
    <w:rsid w:val="00CD6383"/>
    <w:rsid w:val="00D168B7"/>
    <w:rsid w:val="00D831E4"/>
    <w:rsid w:val="00D906A8"/>
    <w:rsid w:val="00DC7BB5"/>
    <w:rsid w:val="00DD1C48"/>
    <w:rsid w:val="00DF0ECC"/>
    <w:rsid w:val="00E01CBD"/>
    <w:rsid w:val="00E04DCC"/>
    <w:rsid w:val="00E10EB8"/>
    <w:rsid w:val="00E21B1B"/>
    <w:rsid w:val="00E34861"/>
    <w:rsid w:val="00E6338A"/>
    <w:rsid w:val="00EB652A"/>
    <w:rsid w:val="00F174EE"/>
    <w:rsid w:val="00F41234"/>
    <w:rsid w:val="00F52048"/>
    <w:rsid w:val="00F57757"/>
    <w:rsid w:val="00FB7CB5"/>
    <w:rsid w:val="00FF7268"/>
    <w:rsid w:val="EFBDA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SBBT1"/>
    <w:basedOn w:val="1"/>
    <w:qFormat/>
    <w:uiPriority w:val="0"/>
    <w:pPr>
      <w:tabs>
        <w:tab w:val="center" w:pos="4678"/>
      </w:tabs>
      <w:spacing w:line="360" w:lineRule="auto"/>
      <w:outlineLvl w:val="0"/>
    </w:pPr>
    <w:rPr>
      <w:rFonts w:ascii="宋体" w:hAnsi="宋体" w:cs="宋体"/>
      <w:b/>
      <w:bCs/>
      <w:sz w:val="28"/>
      <w:szCs w:val="28"/>
    </w:rPr>
  </w:style>
  <w:style w:type="paragraph" w:customStyle="1" w:styleId="5">
    <w:name w:val="表格1级"/>
    <w:basedOn w:val="1"/>
    <w:qFormat/>
    <w:uiPriority w:val="0"/>
    <w:pPr>
      <w:tabs>
        <w:tab w:val="left" w:pos="210"/>
        <w:tab w:val="center" w:pos="4620"/>
      </w:tabs>
      <w:spacing w:before="50" w:beforeLines="50" w:after="50" w:afterLines="50"/>
      <w:jc w:val="center"/>
      <w:outlineLvl w:val="0"/>
    </w:pPr>
    <w:rPr>
      <w:rFonts w:ascii="Times New Roman" w:hAnsi="Times New Roman" w:eastAsia="CESI宋体-GB2312"/>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Pages>
  <Words>182</Words>
  <Characters>1041</Characters>
  <Lines>8</Lines>
  <Paragraphs>2</Paragraphs>
  <TotalTime>0</TotalTime>
  <ScaleCrop>false</ScaleCrop>
  <LinksUpToDate>false</LinksUpToDate>
  <CharactersWithSpaces>1221</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2021-01-06T10:51:00Z</dcterms:created>
  <dc:creator>宁强</dc:creator>
  <cp:lastModifiedBy>宁强</cp:lastModifiedBy>
  <dcterms:modified xsi:type="dcterms:W3CDTF">2022-01-06T14:52:08Z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